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2D1428" w:rsidRPr="0028632F" w:rsidRDefault="002D1428" w:rsidP="002D1428">
            <w:pPr>
              <w:ind w:left="102" w:right="142"/>
              <w:rPr>
                <w:rFonts w:ascii="Arial" w:hAnsi="Arial"/>
                <w:color w:val="000000"/>
                <w:sz w:val="16"/>
                <w:szCs w:val="16"/>
              </w:rPr>
            </w:pPr>
            <w:r w:rsidRPr="0028632F">
              <w:rPr>
                <w:rFonts w:ascii="Arial" w:hAnsi="Arial"/>
                <w:color w:val="000000"/>
                <w:sz w:val="16"/>
                <w:szCs w:val="16"/>
              </w:rPr>
              <w:t xml:space="preserve">Sprawozdanie należy przekazać adresatowi w terminie </w:t>
            </w:r>
          </w:p>
          <w:p w:rsidR="002D1428" w:rsidRPr="0028632F" w:rsidRDefault="002D1428" w:rsidP="002D1428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 w:cs="Arial"/>
                <w:color w:val="000000"/>
                <w:sz w:val="16"/>
                <w:szCs w:val="16"/>
              </w:rPr>
              <w:t>do 12. dnia kalendarzowego po półroczu i roku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2015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1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336"/>
        <w:gridCol w:w="532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F8471B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18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F8471B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F8471B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F8471B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F8471B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F8471B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>(wiersz 02 do 41+43+44)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c) </w:t>
            </w:r>
            <w:r w:rsidR="00F12704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val="31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Ust. z dn. 29 lipca 2005 r. o p-dział. Narkom. (Dz.U. z 2012 r., poz. 124, z późn. zm.)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12704" w:rsidRPr="00F12704" w:rsidTr="00F8471B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Default="00F1270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5A71" w:rsidRPr="00F12704" w:rsidTr="00F8471B">
        <w:trPr>
          <w:cantSplit/>
          <w:trHeight w:val="439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8E5A71" w:rsidRPr="00F12704" w:rsidRDefault="008E5A71" w:rsidP="00351FC1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55 ust. z dnia 18.12. 1998 r. o Instytucie Pamięci Narod– Komisji Ścigania Zbrodni p-ko Narodowi Polskiemu (Dz. U. z 2014 r., poz. 1075)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5A71" w:rsidRPr="00F12704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F820AF" w:rsidRPr="00F12704" w:rsidTr="00F8471B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F820AF" w:rsidRPr="00F12704" w:rsidRDefault="00F820AF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AF" w:rsidRPr="00F12704" w:rsidRDefault="00F820AF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F8471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F8471B" w:rsidRDefault="00F820AF" w:rsidP="00BE450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471B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AF" w:rsidRDefault="00F820A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294"/>
        <w:gridCol w:w="364"/>
        <w:gridCol w:w="378"/>
        <w:gridCol w:w="434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5558BB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602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32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351FC1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351FC1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9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351FC1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351FC1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42+43+44)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B6292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5558BB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5558BB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5558BB">
        <w:trPr>
          <w:cantSplit/>
          <w:trHeight w:hRule="exact" w:val="397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351FC1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Ust. z dn. 29 lipca 2005 r. o przeciwdziałaniu narkomanii (Dz.Uz 2012 r., poz. 124, z późn. zm.)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51FC1" w:rsidRPr="00351FC1" w:rsidTr="005558BB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Default="00351FC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5A71" w:rsidRPr="00351FC1" w:rsidTr="00351FC1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51FC1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 U. z 2014 r., poz. 1075)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E5A71" w:rsidRPr="00351FC1" w:rsidTr="005558BB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71" w:rsidRDefault="008E5A7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2450E7" w:rsidP="007B7B9D">
      <w:pPr>
        <w:rPr>
          <w:rFonts w:ascii="Arial" w:hAnsi="Arial"/>
          <w:color w:val="000000"/>
          <w:sz w:val="18"/>
          <w:szCs w:val="18"/>
        </w:rPr>
      </w:pPr>
      <w:r w:rsidRPr="00336374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92C" w:rsidRPr="00B6292C" w:rsidRDefault="00B6292C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3,50</w:t>
                            </w:r>
                          </w:p>
                          <w:p w:rsidR="00B6292C" w:rsidRDefault="00B62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B6292C" w:rsidRPr="00B6292C" w:rsidRDefault="00B6292C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3,50</w:t>
                      </w:r>
                    </w:p>
                    <w:p w:rsidR="00B6292C" w:rsidRDefault="00B6292C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4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3,00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2,00</w:t>
            </w: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8632F"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6DB2" w:rsidRPr="0028632F" w:rsidRDefault="00756DB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>Dział 2.3.1.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2471C" w:rsidRPr="0028632F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340894" w:rsidRPr="0028632F" w:rsidRDefault="00340894" w:rsidP="00756DB2">
      <w:pPr>
        <w:spacing w:before="60" w:after="120" w:line="160" w:lineRule="exact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 xml:space="preserve">Dział 2.3.2. Ograniczenie wolności </w:t>
      </w:r>
    </w:p>
    <w:tbl>
      <w:tblPr>
        <w:tblW w:w="72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284"/>
        <w:gridCol w:w="1019"/>
        <w:gridCol w:w="1019"/>
        <w:gridCol w:w="1019"/>
        <w:gridCol w:w="1019"/>
      </w:tblGrid>
      <w:tr w:rsidR="0028632F" w:rsidRPr="0028632F" w:rsidTr="00756DB2">
        <w:trPr>
          <w:cantSplit/>
          <w:trHeight w:hRule="exact" w:val="206"/>
        </w:trPr>
        <w:tc>
          <w:tcPr>
            <w:tcW w:w="3141" w:type="dxa"/>
            <w:gridSpan w:val="2"/>
            <w:vMerge w:val="restart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Rodzaje nałożonych obowiązków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(art. 35 i 36 kk)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(rubr. 2 do 4)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Wymiar kary</w:t>
            </w:r>
          </w:p>
        </w:tc>
      </w:tr>
      <w:tr w:rsidR="0028632F" w:rsidRPr="0028632F" w:rsidTr="00756DB2">
        <w:trPr>
          <w:cantSplit/>
          <w:trHeight w:hRule="exact" w:val="350"/>
        </w:trPr>
        <w:tc>
          <w:tcPr>
            <w:tcW w:w="3141" w:type="dxa"/>
            <w:gridSpan w:val="2"/>
            <w:vMerge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Merge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do 3 miesięcy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 mies. do 6 mies.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6 miesięcy</w:t>
            </w:r>
          </w:p>
        </w:tc>
      </w:tr>
      <w:tr w:rsidR="0028632F" w:rsidRPr="0028632F" w:rsidTr="00756DB2">
        <w:trPr>
          <w:cantSplit/>
          <w:trHeight w:val="116"/>
        </w:trPr>
        <w:tc>
          <w:tcPr>
            <w:tcW w:w="3141" w:type="dxa"/>
            <w:gridSpan w:val="2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0</w:t>
            </w:r>
          </w:p>
        </w:tc>
        <w:tc>
          <w:tcPr>
            <w:tcW w:w="1019" w:type="dxa"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1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2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4</w:t>
            </w: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</w:t>
            </w:r>
            <w:r w:rsidRPr="0028632F">
              <w:rPr>
                <w:rFonts w:ascii="Arial" w:hAnsi="Arial" w:cs="Arial"/>
                <w:b/>
                <w:color w:val="000000"/>
                <w:sz w:val="12"/>
              </w:rPr>
              <w:t>z oskarżenia publicznego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(wiersz 2+3)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nil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Wykonywanie nieodpłatnej pracy (art. 35 §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Potrącenie z wynagrodzenia za pracę (art. 35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8632F" w:rsidRPr="0028632F" w:rsidTr="00170227">
        <w:trPr>
          <w:trHeight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Orzeczenie obowiązków (art. 36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F7620" w:rsidRPr="0028632F" w:rsidRDefault="007F7620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036B58">
          <w:type w:val="continuous"/>
          <w:pgSz w:w="16840" w:h="11907" w:orient="landscape" w:code="9"/>
          <w:pgMar w:top="252" w:right="731" w:bottom="196" w:left="794" w:header="255" w:footer="255" w:gutter="0"/>
          <w:cols w:num="2" w:space="708"/>
          <w:docGrid w:linePitch="272"/>
        </w:sect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116E44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Pr="00036B58" w:rsidRDefault="00036B58" w:rsidP="00036B58">
      <w:pPr>
        <w:rPr>
          <w:rFonts w:ascii="Arial" w:hAnsi="Arial" w:cs="Arial"/>
          <w:b/>
          <w:sz w:val="14"/>
          <w:szCs w:val="14"/>
        </w:r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CA0E2E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8C6D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71A44" w:rsidRDefault="00F71A44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lastRenderedPageBreak/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>dzinie (Dz. U. N</w:t>
      </w:r>
      <w:r w:rsidRPr="0028632F">
        <w:rPr>
          <w:rFonts w:ascii="Arial" w:hAnsi="Arial" w:cs="Arial"/>
          <w:color w:val="000000"/>
          <w:sz w:val="18"/>
          <w:szCs w:val="18"/>
        </w:rPr>
        <w:t>r 180, poz. 1493)  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8C6DEC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8C6DEC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8C6DEC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8C6DEC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8C6DEC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(Dz. U. Nr 180, poz. 1493)  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8C6DEC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8C6D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8C6D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8C6DE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8C6DEC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8C6DEC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8C6DEC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8C6DEC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8C6DEC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8C6DEC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CB2685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CB2685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EC0C13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 w:rsidRPr="00EC0C13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Pr="0028632F" w:rsidRDefault="0075059F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  <w:r w:rsidR="00375DC2"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8C6DEC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8C6DEC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8C6DEC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8C6DEC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8C6DEC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8C6DEC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8C6DEC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8C6DEC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8C6DEC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353BBB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8C6DEC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A2480F" w:rsidP="008C6DEC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EC0C13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A2480F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>21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obowiązek powstrzymania się od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(lub zakaz) </w:t>
            </w:r>
            <w:r w:rsidRPr="00A2480F">
              <w:rPr>
                <w:rFonts w:ascii="Arial" w:hAnsi="Arial" w:cs="Arial"/>
                <w:sz w:val="14"/>
                <w:szCs w:val="16"/>
              </w:rPr>
              <w:t>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EC0C13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nakaz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(okresowego) </w:t>
            </w:r>
            <w:r w:rsidRPr="00A2480F">
              <w:rPr>
                <w:rFonts w:ascii="Arial" w:hAnsi="Arial" w:cs="Arial"/>
                <w:sz w:val="14"/>
                <w:szCs w:val="16"/>
              </w:rPr>
              <w:t>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3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pojazdów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4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przepadek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39 pkt 5 kk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naprawienia szkody lub zadośćuczynienia za doznaną krzywdę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A2480F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480F" w:rsidRPr="00A2480F" w:rsidRDefault="00A2480F" w:rsidP="008C6DE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A2480F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8C6DE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8C6DE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A2480F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8C6DEC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EC0C13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9A4159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13)+(1</w:t>
            </w:r>
            <w:r w:rsidR="009A4159">
              <w:rPr>
                <w:rFonts w:ascii="Arial" w:hAnsi="Arial" w:cs="Arial"/>
                <w:sz w:val="16"/>
                <w:szCs w:val="16"/>
              </w:rPr>
              <w:t>5 +18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8C6DEC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8C6DEC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623D36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8C6DEC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623D36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EC0C13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805B50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805B50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Nr 179, poz. 1485, z późn. zm.)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2450E7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336374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C1" w:rsidRPr="004102F7" w:rsidRDefault="00351FC1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351FC1" w:rsidRPr="004102F7" w:rsidRDefault="00351FC1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351FC1" w:rsidRPr="004102F7" w:rsidRDefault="00351FC1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51FC1" w:rsidRPr="000B589E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351FC1" w:rsidRDefault="00351FC1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51FC1" w:rsidRPr="000B589E" w:rsidRDefault="00351FC1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351FC1" w:rsidRPr="004102F7" w:rsidRDefault="00351FC1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351FC1" w:rsidRPr="009A76F9" w:rsidRDefault="00351FC1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351FC1" w:rsidRPr="004102F7" w:rsidRDefault="00351FC1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351FC1" w:rsidRPr="004102F7" w:rsidRDefault="00351FC1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351FC1" w:rsidRPr="004102F7" w:rsidRDefault="00351FC1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351FC1" w:rsidRPr="004102F7" w:rsidRDefault="00351FC1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51FC1" w:rsidRPr="000B589E" w:rsidRDefault="00351FC1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351FC1" w:rsidRDefault="00351FC1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1FC1" w:rsidRPr="000B589E" w:rsidRDefault="00351FC1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351FC1" w:rsidRPr="004102F7" w:rsidRDefault="00351FC1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351FC1" w:rsidRPr="009A76F9" w:rsidRDefault="00351FC1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prawomocne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346B39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FE" w:rsidRDefault="006E74FE" w:rsidP="0004774B">
      <w:r>
        <w:separator/>
      </w:r>
    </w:p>
  </w:endnote>
  <w:endnote w:type="continuationSeparator" w:id="0">
    <w:p w:rsidR="006E74FE" w:rsidRDefault="006E74FE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1" w:rsidRDefault="00351FC1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336374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336374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2450E7">
      <w:rPr>
        <w:rFonts w:ascii="Arial" w:hAnsi="Arial" w:cs="Arial"/>
        <w:b/>
        <w:bCs/>
        <w:noProof/>
        <w:sz w:val="16"/>
        <w:szCs w:val="16"/>
      </w:rPr>
      <w:t>2</w:t>
    </w:r>
    <w:r w:rsidR="00336374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336374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336374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2450E7">
      <w:rPr>
        <w:rFonts w:ascii="Arial" w:hAnsi="Arial" w:cs="Arial"/>
        <w:b/>
        <w:bCs/>
        <w:noProof/>
        <w:sz w:val="16"/>
        <w:szCs w:val="16"/>
      </w:rPr>
      <w:t>7</w:t>
    </w:r>
    <w:r w:rsidR="00336374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FE" w:rsidRDefault="006E74FE" w:rsidP="0004774B">
      <w:r>
        <w:separator/>
      </w:r>
    </w:p>
  </w:footnote>
  <w:footnote w:type="continuationSeparator" w:id="0">
    <w:p w:rsidR="006E74FE" w:rsidRDefault="006E74FE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C1" w:rsidRPr="0002719C" w:rsidRDefault="00351FC1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70ADA"/>
    <w:rsid w:val="00090469"/>
    <w:rsid w:val="000A52E8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E4E11"/>
    <w:rsid w:val="001F2024"/>
    <w:rsid w:val="00204B9E"/>
    <w:rsid w:val="0021691C"/>
    <w:rsid w:val="002313A8"/>
    <w:rsid w:val="00236F7E"/>
    <w:rsid w:val="00240622"/>
    <w:rsid w:val="00244150"/>
    <w:rsid w:val="00245050"/>
    <w:rsid w:val="002450E7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E5BC9"/>
    <w:rsid w:val="002E7080"/>
    <w:rsid w:val="002F0ABC"/>
    <w:rsid w:val="002F1943"/>
    <w:rsid w:val="002F4489"/>
    <w:rsid w:val="0030028B"/>
    <w:rsid w:val="00304CAF"/>
    <w:rsid w:val="00311DC1"/>
    <w:rsid w:val="00312285"/>
    <w:rsid w:val="00320A31"/>
    <w:rsid w:val="00327995"/>
    <w:rsid w:val="00336374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F334A"/>
    <w:rsid w:val="003F7272"/>
    <w:rsid w:val="00404EE0"/>
    <w:rsid w:val="00405E11"/>
    <w:rsid w:val="00413801"/>
    <w:rsid w:val="00413DF2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25870"/>
    <w:rsid w:val="005558BB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8414E"/>
    <w:rsid w:val="006A1E01"/>
    <w:rsid w:val="006B08F0"/>
    <w:rsid w:val="006D3241"/>
    <w:rsid w:val="006D3B88"/>
    <w:rsid w:val="006D5788"/>
    <w:rsid w:val="006E74FE"/>
    <w:rsid w:val="006F065C"/>
    <w:rsid w:val="00701FDD"/>
    <w:rsid w:val="00711A61"/>
    <w:rsid w:val="007134F4"/>
    <w:rsid w:val="00746495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911354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639E4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C1C67"/>
    <w:rsid w:val="00BC4C94"/>
    <w:rsid w:val="00BC6E06"/>
    <w:rsid w:val="00BC7137"/>
    <w:rsid w:val="00BD0A1F"/>
    <w:rsid w:val="00BE2DB6"/>
    <w:rsid w:val="00BE4384"/>
    <w:rsid w:val="00BE74CD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D1202F"/>
    <w:rsid w:val="00D1612A"/>
    <w:rsid w:val="00D256C6"/>
    <w:rsid w:val="00D36287"/>
    <w:rsid w:val="00D413EF"/>
    <w:rsid w:val="00D41A4B"/>
    <w:rsid w:val="00D52A2B"/>
    <w:rsid w:val="00D6419B"/>
    <w:rsid w:val="00D75AB5"/>
    <w:rsid w:val="00D8415B"/>
    <w:rsid w:val="00D91E3A"/>
    <w:rsid w:val="00D95AC4"/>
    <w:rsid w:val="00D96CCE"/>
    <w:rsid w:val="00DA01FA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43285"/>
    <w:rsid w:val="00E54BAA"/>
    <w:rsid w:val="00E65E41"/>
    <w:rsid w:val="00E665D5"/>
    <w:rsid w:val="00E7034B"/>
    <w:rsid w:val="00EA2D57"/>
    <w:rsid w:val="00EA5B46"/>
    <w:rsid w:val="00EA6F7F"/>
    <w:rsid w:val="00EC0C13"/>
    <w:rsid w:val="00EE1ABB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00E19A-F124-400A-86FD-B68E2B6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4245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2021-01-12T11:08:00Z</dcterms:created>
  <dcterms:modified xsi:type="dcterms:W3CDTF">2021-01-12T11:08:00Z</dcterms:modified>
</cp:coreProperties>
</file>