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074"/>
        <w:gridCol w:w="3151"/>
      </w:tblGrid>
      <w:tr w:rsidR="004E64D2" w:rsidRPr="00AF4354" w:rsidTr="004E64D2">
        <w:trPr>
          <w:cantSplit/>
          <w:trHeight w:val="344"/>
        </w:trPr>
        <w:tc>
          <w:tcPr>
            <w:tcW w:w="10911" w:type="dxa"/>
            <w:gridSpan w:val="3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F4354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4E64D2" w:rsidRPr="00AF4354" w:rsidTr="007C537E">
        <w:trPr>
          <w:cantSplit/>
          <w:trHeight w:val="792"/>
        </w:trPr>
        <w:tc>
          <w:tcPr>
            <w:tcW w:w="3686" w:type="dxa"/>
            <w:vMerge w:val="restart"/>
            <w:vAlign w:val="center"/>
          </w:tcPr>
          <w:p w:rsidR="006A1971" w:rsidRPr="00AF4354" w:rsidRDefault="00224FC9" w:rsidP="00224FC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SO w Tarnobrzegu </w:t>
            </w:r>
          </w:p>
        </w:tc>
        <w:tc>
          <w:tcPr>
            <w:tcW w:w="4074" w:type="dxa"/>
            <w:vMerge w:val="restart"/>
            <w:vAlign w:val="center"/>
          </w:tcPr>
          <w:p w:rsidR="006A1971" w:rsidRPr="00AF4354" w:rsidRDefault="006A1971" w:rsidP="004E64D2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AF4354">
              <w:rPr>
                <w:rFonts w:ascii="Arial" w:hAnsi="Arial" w:cs="Arial"/>
                <w:b/>
                <w:bCs/>
              </w:rPr>
              <w:t>MS-S10</w:t>
            </w:r>
            <w:r w:rsidR="00124FF6">
              <w:rPr>
                <w:rFonts w:ascii="Arial" w:hAnsi="Arial" w:cs="Arial"/>
                <w:b/>
                <w:bCs/>
              </w:rPr>
              <w:t>o</w:t>
            </w:r>
          </w:p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68116A" w:rsidRDefault="0068116A" w:rsidP="0068116A">
            <w:pPr>
              <w:spacing w:before="8" w:after="8"/>
              <w:ind w:left="8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rok 2017 r.</w:t>
            </w:r>
          </w:p>
        </w:tc>
        <w:tc>
          <w:tcPr>
            <w:tcW w:w="3151" w:type="dxa"/>
            <w:vAlign w:val="center"/>
          </w:tcPr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Ministerstwo Sprawiedliwości</w:t>
            </w:r>
          </w:p>
          <w:p w:rsidR="006A1971" w:rsidRPr="00AF4354" w:rsidRDefault="00CA44FC" w:rsidP="00EF00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Departament Strategii i Funduszy Europejskich</w:t>
            </w:r>
          </w:p>
        </w:tc>
      </w:tr>
      <w:tr w:rsidR="004E64D2" w:rsidRPr="00AF4354" w:rsidTr="004E64D2">
        <w:trPr>
          <w:cantSplit/>
          <w:trHeight w:val="240"/>
        </w:trPr>
        <w:tc>
          <w:tcPr>
            <w:tcW w:w="3686" w:type="dxa"/>
            <w:vMerge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9820E4" w:rsidRPr="009820E4" w:rsidRDefault="009820E4" w:rsidP="009820E4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 xml:space="preserve">Termin przekazania: </w:t>
            </w:r>
          </w:p>
          <w:p w:rsidR="006A1971" w:rsidRPr="00AF4354" w:rsidRDefault="009820E4" w:rsidP="00124FF6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>zgodnie z PBSSP 201</w:t>
            </w:r>
            <w:r w:rsidR="00124FF6">
              <w:rPr>
                <w:rFonts w:ascii="Arial" w:hAnsi="Arial" w:cs="Arial"/>
                <w:sz w:val="16"/>
                <w:szCs w:val="16"/>
              </w:rPr>
              <w:t>7</w:t>
            </w:r>
            <w:r w:rsidRPr="009820E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4E64D2" w:rsidRPr="00AF4354" w:rsidTr="004E64D2">
        <w:trPr>
          <w:cantSplit/>
          <w:trHeight w:val="614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Okręg Sądu Apelacyjnego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7C537E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37E">
              <w:rPr>
                <w:rFonts w:ascii="Arial" w:hAnsi="Arial" w:cs="Arial"/>
                <w:b/>
                <w:bCs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D2" w:rsidRPr="00AF4354" w:rsidTr="004E64D2">
        <w:trPr>
          <w:cantSplit/>
          <w:trHeight w:val="499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AF435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AF4354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6A1971" w:rsidRPr="00AF4354" w:rsidRDefault="006A1971" w:rsidP="0015298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4EE1" w:rsidRPr="00AF4354" w:rsidRDefault="00F94EE1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7C1B25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1.013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601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684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425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01"/>
        <w:gridCol w:w="425"/>
        <w:gridCol w:w="1575"/>
        <w:gridCol w:w="1684"/>
      </w:tblGrid>
      <w:tr w:rsidR="006A1971" w:rsidRPr="00AF4354" w:rsidTr="00F03102">
        <w:trPr>
          <w:cantSplit/>
          <w:trHeight w:val="699"/>
        </w:trPr>
        <w:tc>
          <w:tcPr>
            <w:tcW w:w="7655" w:type="dxa"/>
            <w:gridSpan w:val="4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Środki karne, obowiązki orzeczone przy warunkowym umorzeniu postępowania (sprawy z wykazu Wu)</w:t>
            </w:r>
          </w:p>
          <w:p w:rsidR="006A1971" w:rsidRPr="00AF4354" w:rsidRDefault="006A1971" w:rsidP="00FB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(k. 01 w. 01+05 &gt;= dz. 2.1 k. 01 w. 03)</w:t>
            </w:r>
          </w:p>
        </w:tc>
        <w:tc>
          <w:tcPr>
            <w:tcW w:w="157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84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Wykonywane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7655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8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(w.05 = w.06 do 11+15 do 18+21 do 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(w.11 = 12 do 14)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(w.18 = 19+20)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val="45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9A218B" w:rsidP="007C1B25">
            <w:pPr>
              <w:ind w:right="-77"/>
              <w:rPr>
                <w:rFonts w:ascii="Arial" w:hAnsi="Arial" w:cs="Arial"/>
                <w:sz w:val="16"/>
                <w:szCs w:val="16"/>
              </w:rPr>
            </w:pPr>
            <w:r w:rsidRPr="009A218B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914424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E91E8F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784D24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F6" w:rsidRDefault="00124FF6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124FF6" w:rsidRDefault="00124FF6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FD49F7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FD49F7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FD49F7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D063A1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E91E8F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0" t="4445" r="381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4FF6" w:rsidRPr="00894DC6" w:rsidRDefault="00124FF6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124FF6" w:rsidRPr="00894DC6" w:rsidRDefault="00124FF6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9D22E6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D063A1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w.19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DA1" w:rsidRPr="006A6BF5" w:rsidRDefault="0043521A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(w.22=w.23+24)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</w:tr>
      <w:tr w:rsidR="00E4251C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(=w.</w:t>
            </w:r>
            <w:r w:rsidRPr="00662FF2">
              <w:t xml:space="preserve"> </w:t>
            </w:r>
            <w:r w:rsidRPr="00662FF2">
              <w:rPr>
                <w:rFonts w:ascii="Arial" w:hAnsi="Arial" w:cs="Arial"/>
                <w:sz w:val="16"/>
                <w:szCs w:val="16"/>
              </w:rPr>
              <w:t>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w.20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p w:rsidR="006A1971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961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274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lastRenderedPageBreak/>
        <w:t xml:space="preserve">Dział 13. Wykonywanie środka karnego w postaci zakazu prowadzenia pojazdów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  <w:gridCol w:w="2234"/>
      </w:tblGrid>
      <w:tr w:rsidR="00A75599" w:rsidRPr="00A75599" w:rsidTr="006E34E1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2234" w:type="dxa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Wykonywane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 xml:space="preserve">(stan w ostatnim dniu okresu </w:t>
            </w:r>
            <w:r w:rsidR="006E34E1">
              <w:rPr>
                <w:rFonts w:ascii="Arial" w:hAnsi="Arial" w:cs="Arial"/>
                <w:sz w:val="16"/>
                <w:szCs w:val="16"/>
              </w:rPr>
              <w:t>s</w:t>
            </w:r>
            <w:r w:rsidRPr="00A75599">
              <w:rPr>
                <w:rFonts w:ascii="Arial" w:hAnsi="Arial" w:cs="Arial"/>
                <w:sz w:val="16"/>
                <w:szCs w:val="16"/>
              </w:rPr>
              <w:t>prawozdawczego)</w:t>
            </w:r>
          </w:p>
        </w:tc>
      </w:tr>
      <w:tr w:rsidR="00A75599" w:rsidRPr="00A75599" w:rsidTr="0062019C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034A8" w:rsidRPr="00A75599" w:rsidTr="0062019C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034A8" w:rsidRPr="00A75599" w:rsidRDefault="004034A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 xml:space="preserve">Zakaz prowadzenia pojazdów w związku z przestępstwami - ogółem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34A8" w:rsidRPr="00A75599" w:rsidRDefault="004034A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034A8" w:rsidRPr="0062019C" w:rsidRDefault="004034A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4034A8" w:rsidRPr="00A75599" w:rsidTr="0062019C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034A8" w:rsidRPr="00A75599" w:rsidRDefault="004034A8" w:rsidP="00FD49F7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w tym 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4A8" w:rsidRPr="00A75599" w:rsidRDefault="004034A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034A8" w:rsidRPr="0062019C" w:rsidRDefault="004034A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>Dział 1</w:t>
      </w:r>
      <w:r w:rsidR="00A75599">
        <w:rPr>
          <w:rFonts w:ascii="Arial" w:hAnsi="Arial" w:cs="Arial"/>
          <w:b/>
          <w:bCs/>
        </w:rPr>
        <w:t>4</w:t>
      </w:r>
      <w:r w:rsidRPr="00AF4354">
        <w:rPr>
          <w:rFonts w:ascii="Arial" w:hAnsi="Arial" w:cs="Arial"/>
          <w:b/>
          <w:bCs/>
        </w:rPr>
        <w:t xml:space="preserve">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034A8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34A8" w:rsidRPr="00AF4354" w:rsidRDefault="004034A8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2.640</w:t>
            </w:r>
          </w:p>
        </w:tc>
      </w:tr>
      <w:tr w:rsidR="004034A8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34A8" w:rsidRPr="00AF4354" w:rsidRDefault="004034A8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E91E8F" w:rsidP="00E646BA">
      <w:pPr>
        <w:rPr>
          <w:rFonts w:ascii="Arial" w:hAnsi="Arial" w:cs="Arial"/>
        </w:rPr>
      </w:pPr>
      <w:r w:rsidRPr="00784D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127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124FF6" w:rsidRPr="004102F7" w:rsidRDefault="00124FF6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0B589E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124FF6" w:rsidRDefault="00124FF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4FF6" w:rsidRPr="000B589E" w:rsidRDefault="00124FF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124FF6" w:rsidRPr="004102F7" w:rsidRDefault="00124FF6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0B589E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124FF6" w:rsidRDefault="00124FF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4FF6" w:rsidRPr="000B589E" w:rsidRDefault="00124FF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A75599" w:rsidRPr="008651AC" w:rsidRDefault="00A75599" w:rsidP="00A75599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651AC">
        <w:rPr>
          <w:rFonts w:ascii="Arial" w:hAnsi="Arial" w:cs="Arial"/>
          <w:b/>
          <w:bCs/>
        </w:rPr>
        <w:t>OBJAŚNIENIA do formularza MS-S10</w:t>
      </w:r>
    </w:p>
    <w:p w:rsidR="00A75599" w:rsidRPr="008651AC" w:rsidRDefault="00A75599" w:rsidP="00A75599">
      <w:pPr>
        <w:tabs>
          <w:tab w:val="left" w:pos="360"/>
        </w:tabs>
        <w:jc w:val="both"/>
        <w:rPr>
          <w:b/>
          <w:bCs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Ogólne</w:t>
      </w:r>
    </w:p>
    <w:p w:rsidR="00A75599" w:rsidRPr="008651AC" w:rsidRDefault="00A75599" w:rsidP="00A755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A75599" w:rsidRPr="008651AC" w:rsidRDefault="00A75599" w:rsidP="00A7559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A75599" w:rsidRPr="008651AC" w:rsidRDefault="00A75599" w:rsidP="00A7559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8651AC">
        <w:rPr>
          <w:rFonts w:ascii="Arial" w:hAnsi="Arial" w:cs="Arial"/>
          <w:sz w:val="20"/>
          <w:szCs w:val="20"/>
        </w:rPr>
        <w:t xml:space="preserve">, należy rozumieć przez to: 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a)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8651AC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8651AC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8651AC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b)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8651AC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8651AC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8651AC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8651AC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c)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8651AC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A75599" w:rsidRPr="008651AC" w:rsidRDefault="00A75599" w:rsidP="00A7559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2.2.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Pr="008651AC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Pr="008651AC">
        <w:rPr>
          <w:rFonts w:ascii="Arial" w:hAnsi="Arial" w:cs="Arial"/>
          <w:sz w:val="20"/>
          <w:szCs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dział ten zawiera listę środków karnych oraz obowiązków wymienionych w art. 67 § 3 kk w brzmieniu od dnia 2.01.2012 roku oraz obowiązków z innych ustaw, a także zgodnie z nowelizacją prawa karnego z dnia 15 stycznia 2015 roku wchodzącą w życie 1 lipca 2015 roku;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01 oraz 05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</w:t>
      </w:r>
      <w:r w:rsidRPr="008651AC">
        <w:rPr>
          <w:rFonts w:ascii="Arial" w:hAnsi="Arial" w:cs="Arial"/>
          <w:sz w:val="20"/>
          <w:szCs w:val="20"/>
        </w:rPr>
        <w:lastRenderedPageBreak/>
        <w:t>jeden tego rodzaju środek bądź obowiązek. Wiersz 01 oraz 05 mają zatem wykazać łączną liczbę wszystkich orzeczonych w okresie statystycznym środków karnych oraz obowiązków, bez względu na liczbę orzeczeń oraz liczbę skazanych, wobec których sąd orzekł owe środki bądź obowiązki;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2.3.</w:t>
      </w:r>
    </w:p>
    <w:p w:rsidR="00A75599" w:rsidRPr="008651AC" w:rsidRDefault="00A75599" w:rsidP="00A7559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2.4.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A75599" w:rsidRPr="008651AC" w:rsidRDefault="00A75599" w:rsidP="00A7559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3.1.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3.2.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4.2.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A75599" w:rsidRPr="00B725BE" w:rsidRDefault="00A75599" w:rsidP="00A75599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725BE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A75599" w:rsidRPr="00B725BE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725BE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4.3.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4.4.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5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</w:t>
      </w:r>
      <w:r w:rsidRPr="008651AC">
        <w:rPr>
          <w:rFonts w:ascii="Arial" w:hAnsi="Arial" w:cs="Arial"/>
          <w:sz w:val="20"/>
          <w:szCs w:val="20"/>
        </w:rPr>
        <w:lastRenderedPageBreak/>
        <w:t>wstępu na imprezę masową z obowiązkiem przebywania w miejscach stałego pobytu kontrolowany w sposób określony w przepisach o wykonywaniu kary pozbawienia wolności w systemie dozoru elektronicznego (Dział 5.4).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5.4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6.1.</w:t>
      </w:r>
    </w:p>
    <w:p w:rsidR="00A75599" w:rsidRPr="008651AC" w:rsidRDefault="00A75599" w:rsidP="00A75599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6.2.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roku.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6.3.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6.4.</w:t>
      </w:r>
    </w:p>
    <w:p w:rsidR="00A75599" w:rsidRPr="008651AC" w:rsidRDefault="00A75599" w:rsidP="00A7559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6.5.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A75599" w:rsidRPr="008651AC" w:rsidRDefault="00A75599" w:rsidP="00A7559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lastRenderedPageBreak/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 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7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8651AC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8651AC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8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9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9.1.</w:t>
      </w:r>
    </w:p>
    <w:p w:rsidR="00A75599" w:rsidRPr="008651AC" w:rsidRDefault="00A75599" w:rsidP="00A75599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11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A75599" w:rsidRPr="008651AC" w:rsidRDefault="00A75599" w:rsidP="00A7559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A75599" w:rsidRPr="008651AC" w:rsidRDefault="00A75599" w:rsidP="00A7559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12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AF4354" w:rsidRDefault="006A1971" w:rsidP="00A75599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44" w:rsidRDefault="00063444" w:rsidP="007C537E">
      <w:r>
        <w:separator/>
      </w:r>
    </w:p>
  </w:endnote>
  <w:endnote w:type="continuationSeparator" w:id="0">
    <w:p w:rsidR="00063444" w:rsidRDefault="00063444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784D24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784D24" w:rsidRPr="003852EC">
      <w:rPr>
        <w:b/>
        <w:bCs/>
        <w:sz w:val="16"/>
        <w:szCs w:val="16"/>
      </w:rPr>
      <w:fldChar w:fldCharType="separate"/>
    </w:r>
    <w:r w:rsidR="00E91E8F">
      <w:rPr>
        <w:b/>
        <w:bCs/>
        <w:noProof/>
        <w:sz w:val="16"/>
        <w:szCs w:val="16"/>
      </w:rPr>
      <w:t>4</w:t>
    </w:r>
    <w:r w:rsidR="00784D24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784D24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784D24" w:rsidRPr="003852EC">
      <w:rPr>
        <w:b/>
        <w:bCs/>
        <w:sz w:val="16"/>
        <w:szCs w:val="16"/>
      </w:rPr>
      <w:fldChar w:fldCharType="separate"/>
    </w:r>
    <w:r w:rsidR="00E91E8F">
      <w:rPr>
        <w:b/>
        <w:bCs/>
        <w:noProof/>
        <w:sz w:val="16"/>
        <w:szCs w:val="16"/>
      </w:rPr>
      <w:t>21</w:t>
    </w:r>
    <w:r w:rsidR="00784D24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44" w:rsidRDefault="00063444" w:rsidP="007C537E">
      <w:r>
        <w:separator/>
      </w:r>
    </w:p>
  </w:footnote>
  <w:footnote w:type="continuationSeparator" w:id="0">
    <w:p w:rsidR="00063444" w:rsidRDefault="00063444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3444"/>
    <w:rsid w:val="00065FE6"/>
    <w:rsid w:val="00070190"/>
    <w:rsid w:val="000707F7"/>
    <w:rsid w:val="000712BC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993"/>
    <w:rsid w:val="002B1B07"/>
    <w:rsid w:val="002B2530"/>
    <w:rsid w:val="002B29F3"/>
    <w:rsid w:val="002B3B0E"/>
    <w:rsid w:val="002C0621"/>
    <w:rsid w:val="002C0A75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7EC4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7161"/>
    <w:rsid w:val="006507F4"/>
    <w:rsid w:val="00651DCB"/>
    <w:rsid w:val="0065205C"/>
    <w:rsid w:val="006525EF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BA5"/>
    <w:rsid w:val="00765142"/>
    <w:rsid w:val="0076783A"/>
    <w:rsid w:val="00771F3F"/>
    <w:rsid w:val="0077383B"/>
    <w:rsid w:val="0077519B"/>
    <w:rsid w:val="00776B2B"/>
    <w:rsid w:val="00777DEF"/>
    <w:rsid w:val="00781421"/>
    <w:rsid w:val="00784C70"/>
    <w:rsid w:val="00784D24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4768"/>
    <w:rsid w:val="00E76DDA"/>
    <w:rsid w:val="00E83471"/>
    <w:rsid w:val="00E8352D"/>
    <w:rsid w:val="00E841CE"/>
    <w:rsid w:val="00E91E8F"/>
    <w:rsid w:val="00E932C5"/>
    <w:rsid w:val="00E93457"/>
    <w:rsid w:val="00E944AB"/>
    <w:rsid w:val="00E952AF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EE1"/>
    <w:rsid w:val="00F9564E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4DDDC-FF59-41CC-A6CF-7F84FFF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8517</Words>
  <Characters>51103</Characters>
  <Application>Microsoft Office Word</Application>
  <DocSecurity>0</DocSecurity>
  <Lines>425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2021-01-12T10:57:00Z</dcterms:created>
  <dcterms:modified xsi:type="dcterms:W3CDTF">2021-01-12T10:57:00Z</dcterms:modified>
</cp:coreProperties>
</file>